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spacing w:before="0" w:after="0" w:line="240" w:lineRule="auto"/>
        <w:ind w:leftChars="0"/>
        <w:jc w:val="center"/>
        <w:rPr>
          <w:highlight w:val="none"/>
        </w:rPr>
      </w:pPr>
      <w:bookmarkStart w:id="0" w:name="_Toc15827"/>
      <w:r>
        <w:rPr>
          <w:highlight w:val="none"/>
        </w:rPr>
        <w:t>浙江省</w:t>
      </w:r>
      <w:r>
        <w:rPr>
          <w:rFonts w:hint="eastAsia"/>
          <w:highlight w:val="none"/>
        </w:rPr>
        <w:t>水利科技创新奖</w:t>
      </w:r>
      <w:r>
        <w:rPr>
          <w:highlight w:val="none"/>
        </w:rPr>
        <w:t>公示信息表</w:t>
      </w:r>
      <w:bookmarkEnd w:id="0"/>
    </w:p>
    <w:p>
      <w:pPr>
        <w:pStyle w:val="2"/>
        <w:numPr>
          <w:ilvl w:val="0"/>
          <w:numId w:val="0"/>
        </w:numPr>
        <w:spacing w:before="0" w:after="0" w:line="240" w:lineRule="auto"/>
        <w:ind w:leftChars="0"/>
        <w:jc w:val="center"/>
        <w:rPr>
          <w:highlight w:val="none"/>
        </w:rPr>
      </w:pPr>
    </w:p>
    <w:tbl>
      <w:tblPr>
        <w:tblStyle w:val="13"/>
        <w:tblW w:w="857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63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269" w:type="dxa"/>
            <w:noWrap w:val="0"/>
            <w:vAlign w:val="center"/>
          </w:tcPr>
          <w:p>
            <w:pPr>
              <w:jc w:val="center"/>
              <w:rPr>
                <w:rStyle w:val="18"/>
                <w:rFonts w:eastAsia="仿宋_GB2312"/>
                <w:b w:val="0"/>
                <w:color w:val="auto"/>
                <w:sz w:val="28"/>
                <w:highlight w:val="none"/>
              </w:rPr>
            </w:pPr>
            <w:r>
              <w:rPr>
                <w:rStyle w:val="18"/>
                <w:rFonts w:eastAsia="仿宋_GB2312"/>
                <w:b w:val="0"/>
                <w:bCs w:val="0"/>
                <w:color w:val="auto"/>
                <w:sz w:val="28"/>
                <w:highlight w:val="none"/>
              </w:rPr>
              <w:t>成果名称</w:t>
            </w:r>
          </w:p>
        </w:tc>
        <w:tc>
          <w:tcPr>
            <w:tcW w:w="6306" w:type="dxa"/>
            <w:noWrap w:val="0"/>
            <w:vAlign w:val="center"/>
          </w:tcPr>
          <w:p>
            <w:pPr>
              <w:jc w:val="center"/>
              <w:rPr>
                <w:rStyle w:val="18"/>
                <w:rFonts w:eastAsia="仿宋_GB2312"/>
                <w:b w:val="0"/>
                <w:color w:val="auto"/>
                <w:sz w:val="28"/>
                <w:highlight w:val="none"/>
              </w:rPr>
            </w:pPr>
            <w:r>
              <w:rPr>
                <w:rStyle w:val="18"/>
                <w:rFonts w:hint="eastAsia" w:eastAsia="仿宋_GB2312"/>
                <w:b w:val="0"/>
                <w:color w:val="auto"/>
                <w:sz w:val="28"/>
                <w:highlight w:val="none"/>
              </w:rPr>
              <w:t>“浙里喝好水”数字化关键技术研究与应用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226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  <w:highlight w:val="none"/>
              </w:rPr>
            </w:pPr>
            <w:r>
              <w:rPr>
                <w:rFonts w:hint="eastAsia" w:eastAsia="仿宋_GB2312"/>
                <w:bCs/>
                <w:sz w:val="28"/>
                <w:szCs w:val="24"/>
                <w:highlight w:val="none"/>
              </w:rPr>
              <w:t>推荐</w:t>
            </w:r>
            <w:r>
              <w:rPr>
                <w:rFonts w:eastAsia="仿宋_GB2312"/>
                <w:bCs/>
                <w:sz w:val="28"/>
                <w:szCs w:val="24"/>
                <w:highlight w:val="none"/>
              </w:rPr>
              <w:t>书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  <w:highlight w:val="none"/>
              </w:rPr>
            </w:pPr>
            <w:r>
              <w:rPr>
                <w:rFonts w:eastAsia="仿宋_GB2312"/>
                <w:bCs/>
                <w:sz w:val="28"/>
                <w:szCs w:val="24"/>
                <w:highlight w:val="none"/>
              </w:rPr>
              <w:t>相关内容</w:t>
            </w:r>
          </w:p>
        </w:tc>
        <w:tc>
          <w:tcPr>
            <w:tcW w:w="6306" w:type="dxa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主要知识产权</w:t>
            </w:r>
            <w:r>
              <w:rPr>
                <w:rFonts w:hint="eastAsia" w:eastAsia="仿宋_GB2312"/>
                <w:bCs/>
                <w:sz w:val="24"/>
                <w:szCs w:val="24"/>
                <w:lang w:eastAsia="zh-CN"/>
              </w:rPr>
              <w:t>：</w:t>
            </w:r>
          </w:p>
          <w:p>
            <w:pPr>
              <w:numPr>
                <w:ilvl w:val="0"/>
                <w:numId w:val="3"/>
              </w:num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浙江省城乡供水数字化管理系统V1.0版，获软件著作权，著作权号：2021SR0107664。</w:t>
            </w:r>
          </w:p>
          <w:p>
            <w:pPr>
              <w:numPr>
                <w:ilvl w:val="0"/>
                <w:numId w:val="0"/>
              </w:num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2、城乡清洁供水数字化运行管理平台V1.0，获软件著作权，著作权号：2021SR1510249。</w:t>
            </w:r>
          </w:p>
          <w:p>
            <w:pPr>
              <w:numPr>
                <w:ilvl w:val="0"/>
                <w:numId w:val="0"/>
              </w:numPr>
              <w:spacing w:line="440" w:lineRule="exact"/>
              <w:jc w:val="left"/>
              <w:rPr>
                <w:rFonts w:hint="default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3、浙江省城乡供水数字化管理移动端系统，获软件著作权，著作权号：2021SR0107665。</w:t>
            </w:r>
          </w:p>
          <w:p>
            <w:pPr>
              <w:numPr>
                <w:ilvl w:val="0"/>
                <w:numId w:val="0"/>
              </w:num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4、农村饮用水智能监控系统软件，获软件著作权，著作权号：2022SR0209108。</w:t>
            </w:r>
          </w:p>
          <w:p>
            <w:pPr>
              <w:numPr>
                <w:ilvl w:val="0"/>
                <w:numId w:val="0"/>
              </w:num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5、基于水利智慧感知的遥测</w:t>
            </w:r>
            <w:bookmarkStart w:id="1" w:name="_GoBack"/>
            <w:bookmarkEnd w:id="1"/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终端系统，获实用新型专利，专利号：</w:t>
            </w:r>
            <w:r>
              <w:rPr>
                <w:rFonts w:hint="eastAsia" w:ascii="Times New Roman"/>
                <w:kern w:val="2"/>
                <w:sz w:val="24"/>
                <w:szCs w:val="24"/>
                <w:lang w:val="en-US" w:eastAsia="zh-CN"/>
              </w:rPr>
              <w:t>ZL201921832828.8</w:t>
            </w:r>
            <w:r>
              <w:rPr>
                <w:rFonts w:hint="eastAsia"/>
                <w:kern w:val="2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 xml:space="preserve">发明人：胡正松、岑恩杰、余磊、陆乙君、陈洪飞、沈文忠、严云杰、邱志章、宋立松、刘锋、洪侃、翁敏、蒋元中、郑毅、白东东、屠郑翔、李钊宝、杨勇、张凯平、金浪滨。          </w:t>
            </w:r>
          </w:p>
          <w:p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2"/>
                <w:sz w:val="24"/>
                <w:szCs w:val="24"/>
                <w:lang w:val="en-US" w:eastAsia="zh-CN"/>
              </w:rPr>
              <w:t>6、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一种全自动化的农村饮用水制水系统，获实用新型专利，专利号</w:t>
            </w:r>
            <w:r>
              <w:rPr>
                <w:rFonts w:hint="eastAsia"/>
                <w:kern w:val="2"/>
                <w:sz w:val="24"/>
                <w:szCs w:val="24"/>
                <w:lang w:val="en-US" w:eastAsia="zh-CN"/>
              </w:rPr>
              <w:t>：ZL202022043043.1。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 xml:space="preserve">发明人：白东东、胡正松、陆乙君、岑恩杰、严云杰、陈洪飞、郑毅、屠郑翔、翁敏、邱志章、洪侃、刘锋、宋立松、杨勇、李钊宝、金浪滨、汪保福、蒋元中、丁扬威、孟凯庆、伍未、陈舒阳、张凯平、陈明恩、吕安安、刘海、许方照、康振宇、汤杭森、章银萍、林利通、刘俊仁、褚宸、潘震。 </w:t>
            </w:r>
          </w:p>
          <w:p>
            <w:pPr>
              <w:spacing w:line="440" w:lineRule="exact"/>
              <w:jc w:val="left"/>
              <w:rPr>
                <w:rFonts w:hint="default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 xml:space="preserve">7、一种水箱自洁消毒的控制系统及方法，获发明专利，专利号：ZL202010752570.1发明人：李纪玺、陈义东。   </w:t>
            </w:r>
          </w:p>
          <w:p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代表性论文</w:t>
            </w:r>
            <w:r>
              <w:rPr>
                <w:rFonts w:hint="eastAsia" w:eastAsia="仿宋_GB2312"/>
                <w:bCs/>
                <w:sz w:val="24"/>
                <w:szCs w:val="24"/>
                <w:lang w:eastAsia="zh-CN"/>
              </w:rPr>
              <w:t>：</w:t>
            </w:r>
          </w:p>
          <w:p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1.朱连伟，张泽锋，金嘉颖.农村饮用水安全管理平台的设计与应用，浙江水利科技，2020（2）：60-62。</w:t>
            </w:r>
          </w:p>
          <w:p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2.李钊宝，胡正松，金浪滨等.常山县农村饮用水水质在线监测及自动管控系统的设计及应用，浙江水利科技，2021（4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>）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：67-71。</w:t>
            </w:r>
          </w:p>
          <w:p>
            <w:pPr>
              <w:spacing w:line="440" w:lineRule="exact"/>
              <w:jc w:val="left"/>
              <w:rPr>
                <w:rFonts w:eastAsia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3.邱志章，赵容娇， 葛杭建.基于需求侧变动的水库供水限制库容预测方法，中国防汛防旱，2018（12）：60-64。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226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4"/>
                <w:highlight w:val="none"/>
              </w:rPr>
            </w:pPr>
            <w:r>
              <w:rPr>
                <w:rFonts w:eastAsia="仿宋_GB2312"/>
                <w:bCs/>
                <w:sz w:val="28"/>
                <w:szCs w:val="24"/>
                <w:highlight w:val="none"/>
              </w:rPr>
              <w:t>主要完成人</w:t>
            </w:r>
          </w:p>
        </w:tc>
        <w:tc>
          <w:tcPr>
            <w:tcW w:w="63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朱连伟</w:t>
            </w:r>
            <w:r>
              <w:rPr>
                <w:rFonts w:eastAsia="仿宋_GB2312"/>
                <w:bCs/>
                <w:sz w:val="24"/>
                <w:szCs w:val="24"/>
              </w:rPr>
              <w:t>，排名1，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高级工程师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杭州定川信息技术有限公司</w:t>
            </w:r>
            <w:r>
              <w:rPr>
                <w:rFonts w:eastAsia="仿宋_GB2312"/>
                <w:bCs/>
                <w:sz w:val="24"/>
                <w:szCs w:val="24"/>
              </w:rPr>
              <w:t>；</w:t>
            </w:r>
          </w:p>
          <w:p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杨才杰</w:t>
            </w:r>
            <w:r>
              <w:rPr>
                <w:rFonts w:eastAsia="仿宋_GB2312"/>
                <w:bCs/>
                <w:sz w:val="24"/>
                <w:szCs w:val="24"/>
              </w:rPr>
              <w:t>，排名2，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工程师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浙江省水资源水电中心</w:t>
            </w:r>
            <w:r>
              <w:rPr>
                <w:rFonts w:eastAsia="仿宋_GB2312"/>
                <w:bCs/>
                <w:sz w:val="24"/>
                <w:szCs w:val="24"/>
              </w:rPr>
              <w:t>；</w:t>
            </w:r>
          </w:p>
          <w:p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胡正松</w:t>
            </w:r>
            <w:r>
              <w:rPr>
                <w:rFonts w:eastAsia="仿宋_GB2312"/>
                <w:bCs/>
                <w:sz w:val="24"/>
                <w:szCs w:val="24"/>
              </w:rPr>
              <w:t>，排名3，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高级工程师</w:t>
            </w:r>
            <w:r>
              <w:rPr>
                <w:rFonts w:eastAsia="仿宋_GB2312"/>
                <w:bCs/>
                <w:sz w:val="24"/>
                <w:szCs w:val="24"/>
              </w:rPr>
              <w:t>，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杭州定川信息技术有限公司</w:t>
            </w:r>
            <w:r>
              <w:rPr>
                <w:rFonts w:eastAsia="仿宋_GB2312"/>
                <w:bCs/>
                <w:sz w:val="24"/>
                <w:szCs w:val="24"/>
              </w:rPr>
              <w:t>；</w:t>
            </w:r>
          </w:p>
          <w:p>
            <w:pPr>
              <w:spacing w:line="440" w:lineRule="exact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邱志章，排名4，高级工程师，杭州定川信息技术有限公司</w:t>
            </w:r>
            <w:r>
              <w:rPr>
                <w:rFonts w:eastAsia="仿宋_GB2312"/>
                <w:bCs/>
                <w:sz w:val="24"/>
                <w:szCs w:val="24"/>
              </w:rPr>
              <w:t>；</w:t>
            </w:r>
          </w:p>
          <w:p>
            <w:pPr>
              <w:spacing w:line="440" w:lineRule="exact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金宣辰，排名5，高级工程师，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浙江省水利信息宣传中心；</w:t>
            </w:r>
          </w:p>
          <w:p>
            <w:pPr>
              <w:spacing w:line="440" w:lineRule="exact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白东东，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排名6，高级工程师，杭州定川信息技术有限公司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；</w:t>
            </w:r>
          </w:p>
          <w:p>
            <w:pPr>
              <w:spacing w:line="440" w:lineRule="exact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邱雁，排名7，高级工程师，浙江省水利信息宣传中心；</w:t>
            </w:r>
          </w:p>
          <w:p>
            <w:pPr>
              <w:spacing w:line="440" w:lineRule="exact"/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翁敏，排名8，高级工程师，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杭州定川信息技术有限公司；</w:t>
            </w:r>
          </w:p>
          <w:p>
            <w:pPr>
              <w:spacing w:line="440" w:lineRule="exact"/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李纪玺，排名9，工程师，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上海威派格智慧水务股份有限公司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；</w:t>
            </w:r>
          </w:p>
          <w:p>
            <w:pPr>
              <w:spacing w:line="440" w:lineRule="exact"/>
              <w:rPr>
                <w:rFonts w:hint="eastAsia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卢成，排名10，高级工程师，</w:t>
            </w:r>
            <w:r>
              <w:rPr>
                <w:rFonts w:hint="eastAsia" w:eastAsia="仿宋_GB2312"/>
                <w:bCs/>
                <w:sz w:val="24"/>
                <w:szCs w:val="24"/>
              </w:rPr>
              <w:t>浙江省水利河口研究院（浙江省海洋规划设计研究院）</w:t>
            </w:r>
            <w:r>
              <w:rPr>
                <w:rFonts w:hint="eastAsia" w:eastAsia="仿宋_GB2312"/>
                <w:bCs/>
                <w:sz w:val="24"/>
                <w:szCs w:val="24"/>
                <w:lang w:eastAsia="zh-CN"/>
              </w:rPr>
              <w:t>；</w:t>
            </w:r>
          </w:p>
          <w:p>
            <w:pPr>
              <w:spacing w:line="440" w:lineRule="exact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洪侃，排名11，高级工程师，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浙江量世科技有限公司；</w:t>
            </w:r>
          </w:p>
          <w:p>
            <w:pPr>
              <w:spacing w:line="440" w:lineRule="exact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凌军，排名12，工程师，安吉县水利局；</w:t>
            </w:r>
          </w:p>
          <w:p>
            <w:pPr>
              <w:spacing w:line="440" w:lineRule="exact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黄荣斌，排名13，工程师，上海威派格智慧水务股份有限公司；</w:t>
            </w:r>
          </w:p>
          <w:p>
            <w:pPr>
              <w:spacing w:line="440" w:lineRule="exact"/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胡琳琳，排名14，高级工程师，</w:t>
            </w:r>
            <w:r>
              <w:rPr>
                <w:rFonts w:hint="eastAsia" w:eastAsia="仿宋_GB2312"/>
                <w:bCs/>
                <w:sz w:val="24"/>
                <w:szCs w:val="24"/>
              </w:rPr>
              <w:t>浙江省水利河口研究院（浙江省海洋规划设计研究院）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；</w:t>
            </w:r>
          </w:p>
          <w:p>
            <w:pPr>
              <w:spacing w:line="440" w:lineRule="exact"/>
              <w:rPr>
                <w:rFonts w:eastAsia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邱昕恺，排名15，高级工程师，浙江省水利河口研究院（浙江省海洋规划设计研究院）。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  <w:jc w:val="center"/>
        </w:trPr>
        <w:tc>
          <w:tcPr>
            <w:tcW w:w="226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"/>
                <w:bCs/>
                <w:sz w:val="24"/>
                <w:szCs w:val="24"/>
                <w:highlight w:val="none"/>
              </w:rPr>
            </w:pPr>
            <w:r>
              <w:rPr>
                <w:rFonts w:eastAsia="仿宋_GB2312"/>
                <w:bCs/>
                <w:sz w:val="28"/>
                <w:szCs w:val="24"/>
                <w:highlight w:val="none"/>
              </w:rPr>
              <w:t>主要完成单位</w:t>
            </w:r>
          </w:p>
        </w:tc>
        <w:tc>
          <w:tcPr>
            <w:tcW w:w="630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1.单位名称：</w:t>
            </w:r>
            <w:r>
              <w:rPr>
                <w:rFonts w:hint="eastAsia" w:eastAsia="仿宋_GB2312"/>
                <w:bCs/>
                <w:sz w:val="24"/>
                <w:szCs w:val="24"/>
              </w:rPr>
              <w:t>杭州定川信息技术有限公司</w:t>
            </w:r>
            <w:r>
              <w:rPr>
                <w:rFonts w:hint="eastAsia" w:eastAsia="仿宋_GB2312"/>
                <w:bCs/>
                <w:sz w:val="24"/>
                <w:szCs w:val="24"/>
                <w:lang w:eastAsia="zh-CN"/>
              </w:rPr>
              <w:t>；</w:t>
            </w:r>
          </w:p>
          <w:p>
            <w:pPr>
              <w:spacing w:line="440" w:lineRule="exact"/>
              <w:jc w:val="left"/>
              <w:rPr>
                <w:rFonts w:hint="eastAsia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2.单位名称：</w:t>
            </w:r>
            <w:r>
              <w:rPr>
                <w:rFonts w:hint="eastAsia" w:eastAsia="仿宋_GB2312"/>
                <w:bCs/>
                <w:sz w:val="24"/>
                <w:szCs w:val="24"/>
              </w:rPr>
              <w:t>浙江省水利河口研究院（浙江省海洋规划设计研究院）</w:t>
            </w:r>
            <w:r>
              <w:rPr>
                <w:rFonts w:hint="eastAsia" w:eastAsia="仿宋_GB2312"/>
                <w:bCs/>
                <w:sz w:val="24"/>
                <w:szCs w:val="24"/>
                <w:lang w:eastAsia="zh-CN"/>
              </w:rPr>
              <w:t>；</w:t>
            </w:r>
          </w:p>
          <w:p>
            <w:pPr>
              <w:spacing w:line="440" w:lineRule="exact"/>
              <w:jc w:val="left"/>
              <w:rPr>
                <w:rFonts w:eastAsia="仿宋"/>
                <w:bCs/>
                <w:sz w:val="24"/>
                <w:szCs w:val="24"/>
                <w:highlight w:val="none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3.单位名称：上海威派格智慧水务股份有限公司。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2269" w:type="dxa"/>
            <w:noWrap w:val="0"/>
            <w:vAlign w:val="center"/>
          </w:tcPr>
          <w:p>
            <w:pPr>
              <w:jc w:val="center"/>
              <w:rPr>
                <w:rStyle w:val="18"/>
                <w:rFonts w:hint="eastAsia" w:eastAsia="仿宋_GB2312"/>
                <w:b w:val="0"/>
                <w:color w:val="auto"/>
                <w:sz w:val="28"/>
                <w:szCs w:val="28"/>
                <w:highlight w:val="none"/>
              </w:rPr>
            </w:pPr>
            <w:r>
              <w:rPr>
                <w:rStyle w:val="18"/>
                <w:rFonts w:eastAsia="仿宋_GB2312"/>
                <w:b w:val="0"/>
                <w:color w:val="auto"/>
                <w:sz w:val="28"/>
                <w:szCs w:val="28"/>
                <w:highlight w:val="none"/>
              </w:rPr>
              <w:t>提名单位</w:t>
            </w:r>
          </w:p>
        </w:tc>
        <w:tc>
          <w:tcPr>
            <w:tcW w:w="6306" w:type="dxa"/>
            <w:noWrap w:val="0"/>
            <w:vAlign w:val="center"/>
          </w:tcPr>
          <w:p>
            <w:pPr>
              <w:contextualSpacing/>
              <w:jc w:val="center"/>
              <w:rPr>
                <w:rStyle w:val="18"/>
                <w:b w:val="0"/>
                <w:color w:val="auto"/>
                <w:highlight w:val="none"/>
              </w:rPr>
            </w:pPr>
            <w:r>
              <w:rPr>
                <w:rFonts w:hint="eastAsia" w:eastAsia="仿宋_GB2312"/>
                <w:bCs/>
                <w:sz w:val="24"/>
                <w:szCs w:val="24"/>
                <w:highlight w:val="none"/>
              </w:rPr>
              <w:t>浙江省水利河口研究院（浙江省海洋规划设计研究院）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  <w:jc w:val="center"/>
        </w:trPr>
        <w:tc>
          <w:tcPr>
            <w:tcW w:w="2269" w:type="dxa"/>
            <w:noWrap w:val="0"/>
            <w:vAlign w:val="center"/>
          </w:tcPr>
          <w:p>
            <w:pPr>
              <w:jc w:val="center"/>
              <w:rPr>
                <w:rStyle w:val="18"/>
                <w:rFonts w:hint="eastAsia" w:eastAsia="仿宋_GB2312"/>
                <w:b w:val="0"/>
                <w:color w:val="auto"/>
                <w:sz w:val="28"/>
                <w:szCs w:val="28"/>
                <w:highlight w:val="none"/>
              </w:rPr>
            </w:pPr>
            <w:r>
              <w:rPr>
                <w:rStyle w:val="18"/>
                <w:rFonts w:hint="eastAsia" w:eastAsia="仿宋_GB2312"/>
                <w:b w:val="0"/>
                <w:color w:val="auto"/>
                <w:sz w:val="28"/>
                <w:szCs w:val="28"/>
                <w:highlight w:val="none"/>
              </w:rPr>
              <w:t>推荐</w:t>
            </w:r>
            <w:r>
              <w:rPr>
                <w:rStyle w:val="18"/>
                <w:rFonts w:eastAsia="仿宋_GB2312"/>
                <w:b w:val="0"/>
                <w:color w:val="auto"/>
                <w:sz w:val="28"/>
                <w:szCs w:val="28"/>
                <w:highlight w:val="none"/>
              </w:rPr>
              <w:t>意见</w:t>
            </w:r>
          </w:p>
        </w:tc>
        <w:tc>
          <w:tcPr>
            <w:tcW w:w="63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供水安全事关人民群众的生命健康，浙江省委、省政府高度重视饮水安全工作，实施了农饮水达标提标三年行动。开展“浙里喝好水”数字化关键技术研究与应用，是落实省委省政府全面保障城乡居民“饮水安全”的重要抓手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“浙里喝好水”数字化关键技术研究与应用课题从城乡清洁供水需求出发，以实现城乡居民从“有水喝”到“喝好水”的转变为目标，卓有成效地开展了城乡供水数字化改革技术探索与应用实践。创新提出了基于多元因子的水源水量预报预警模型，并在我省实际抗旱工作中发挥了重要作用；首次建立基于“三端”服务架构的省域城乡供水应用体系，构建了从“源头”到“龙头”的城乡供水数字化闭环管理链，为政府部门管水、企业供水及用户用水提供了智慧支撑平台；首次研制了一套基于边缘计算、AI识别、PID闭环控制等技术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和具备设备数据无线传输功能</w:t>
            </w:r>
            <w:r>
              <w:rPr>
                <w:rFonts w:hint="eastAsia" w:eastAsia="仿宋_GB2312"/>
                <w:bCs/>
                <w:sz w:val="24"/>
                <w:szCs w:val="24"/>
              </w:rPr>
              <w:t>的智能化制水设备，实现开关泵、沉淀、加药、反冲洗等制水工艺全流程的智能化控制；获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知识产权7</w:t>
            </w:r>
            <w:r>
              <w:rPr>
                <w:rFonts w:hint="eastAsia" w:eastAsia="仿宋_GB2312"/>
                <w:bCs/>
                <w:sz w:val="24"/>
                <w:szCs w:val="24"/>
              </w:rPr>
              <w:t>项，其中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发明专利1项，</w:t>
            </w:r>
            <w:r>
              <w:rPr>
                <w:rFonts w:hint="eastAsia" w:eastAsia="仿宋_GB2312"/>
                <w:bCs/>
                <w:sz w:val="24"/>
                <w:szCs w:val="24"/>
              </w:rPr>
              <w:t>实用新型专利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eastAsia="仿宋_GB2312"/>
                <w:bCs/>
                <w:sz w:val="24"/>
                <w:szCs w:val="24"/>
              </w:rPr>
              <w:t>项；编制了国内第一部省域城乡供水数字化建设技术指南</w:t>
            </w:r>
            <w:r>
              <w:rPr>
                <w:rFonts w:hint="eastAsia" w:eastAsia="仿宋_GB2312"/>
                <w:bCs/>
                <w:sz w:val="24"/>
                <w:szCs w:val="24"/>
                <w:lang w:eastAsia="zh-CN"/>
              </w:rPr>
              <w:t>；</w:t>
            </w:r>
            <w:r>
              <w:rPr>
                <w:rFonts w:hint="eastAsia" w:eastAsia="仿宋_GB2312"/>
                <w:bCs/>
                <w:sz w:val="24"/>
                <w:szCs w:val="24"/>
              </w:rPr>
              <w:t>发表了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代表性</w:t>
            </w:r>
            <w:r>
              <w:rPr>
                <w:rFonts w:hint="eastAsia" w:eastAsia="仿宋_GB2312"/>
                <w:bCs/>
                <w:sz w:val="24"/>
                <w:szCs w:val="24"/>
              </w:rPr>
              <w:t>论文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eastAsia="仿宋_GB2312"/>
                <w:bCs/>
                <w:sz w:val="24"/>
                <w:szCs w:val="24"/>
              </w:rPr>
              <w:t>篇。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contextualSpacing/>
              <w:jc w:val="left"/>
              <w:textAlignment w:val="auto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研究成果填补了城乡供水数字化改革和智慧化支撑的空白，总体上达到了国际先进水平，并已成功从理论走向应用，在浙江省广泛推广应用。其中运行管理平台和单村水站智能化制水设备部署了600多套，产生年直接经济效益近1.2亿元，若全省推广使用，每年可节省人员成本近19.5亿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contextualSpacing/>
              <w:jc w:val="left"/>
              <w:textAlignment w:val="auto"/>
              <w:rPr>
                <w:rFonts w:hint="eastAsia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推荐申报2024年度浙江省水利科技创新奖（科技研发类）</w:t>
            </w:r>
            <w:r>
              <w:rPr>
                <w:rFonts w:hint="eastAsia" w:eastAsia="仿宋_GB2312"/>
                <w:bCs/>
                <w:sz w:val="24"/>
                <w:szCs w:val="24"/>
                <w:lang w:eastAsia="zh-CN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2D2C0B"/>
    <w:multiLevelType w:val="singleLevel"/>
    <w:tmpl w:val="F42D2C0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4DDF30F"/>
    <w:multiLevelType w:val="multilevel"/>
    <w:tmpl w:val="34DDF30F"/>
    <w:lvl w:ilvl="0" w:tentative="0">
      <w:start w:val="5"/>
      <w:numFmt w:val="chineseCounting"/>
      <w:pStyle w:val="2"/>
      <w:suff w:val="nothing"/>
      <w:lvlText w:val="第%1章 "/>
      <w:lvlJc w:val="left"/>
      <w:pPr>
        <w:tabs>
          <w:tab w:val="left" w:pos="0"/>
        </w:tabs>
        <w:ind w:left="432" w:hanging="432"/>
      </w:pPr>
      <w:rPr>
        <w:rFonts w:hint="eastAsia"/>
      </w:rPr>
    </w:lvl>
    <w:lvl w:ilvl="1" w:tentative="0">
      <w:start w:val="1"/>
      <w:numFmt w:val="decimal"/>
      <w:isLgl/>
      <w:lvlText w:val="%1.%2."/>
      <w:lvlJc w:val="left"/>
      <w:pPr>
        <w:ind w:left="575" w:hanging="575"/>
      </w:pPr>
      <w:rPr>
        <w:rFonts w:hint="eastAsia"/>
      </w:rPr>
    </w:lvl>
    <w:lvl w:ilvl="2" w:tentative="0">
      <w:start w:val="1"/>
      <w:numFmt w:val="decimal"/>
      <w:pStyle w:val="4"/>
      <w:isLgl/>
      <w:lvlText w:val="%1.%2.%3.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isLgl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isLgl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isLgl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pStyle w:val="8"/>
      <w:isLgl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2">
    <w:nsid w:val="4E6C56C6"/>
    <w:multiLevelType w:val="multilevel"/>
    <w:tmpl w:val="4E6C56C6"/>
    <w:lvl w:ilvl="0" w:tentative="0">
      <w:start w:val="2"/>
      <w:numFmt w:val="decimal"/>
      <w:lvlText w:val="%1"/>
      <w:lvlJc w:val="left"/>
      <w:pPr>
        <w:tabs>
          <w:tab w:val="left" w:pos="420"/>
        </w:tabs>
        <w:ind w:left="0" w:firstLine="0"/>
      </w:pPr>
      <w:rPr>
        <w:rFonts w:hint="default" w:ascii="宋体" w:hAnsi="宋体" w:eastAsia="宋体" w:cs="Times New Roman"/>
      </w:rPr>
    </w:lvl>
    <w:lvl w:ilvl="1" w:tentative="0">
      <w:start w:val="4"/>
      <w:numFmt w:val="decimal"/>
      <w:suff w:val="nothing"/>
      <w:lvlText w:val="2.%2"/>
      <w:lvlJc w:val="left"/>
      <w:pPr>
        <w:tabs>
          <w:tab w:val="left" w:pos="420"/>
        </w:tabs>
        <w:ind w:left="0" w:firstLine="0"/>
      </w:pPr>
      <w:rPr>
        <w:rFonts w:hint="default" w:ascii="宋体" w:hAnsi="宋体" w:eastAsia="宋体" w:cs="Times New Roman"/>
      </w:rPr>
    </w:lvl>
    <w:lvl w:ilvl="2" w:tentative="0">
      <w:start w:val="1"/>
      <w:numFmt w:val="decimal"/>
      <w:suff w:val="nothing"/>
      <w:lvlText w:val="2.4.%3"/>
      <w:lvlJc w:val="left"/>
      <w:pPr>
        <w:ind w:left="0" w:firstLine="0"/>
      </w:pPr>
      <w:rPr>
        <w:rFonts w:hint="default" w:ascii="宋体" w:hAnsi="宋体" w:eastAsia="宋体" w:cs="Times New Roman"/>
      </w:rPr>
    </w:lvl>
    <w:lvl w:ilvl="3" w:tentative="0">
      <w:start w:val="1"/>
      <w:numFmt w:val="decimal"/>
      <w:pStyle w:val="5"/>
      <w:suff w:val="nothing"/>
      <w:lvlText w:val="2.4.1.%4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Times New Roman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0A31BC"/>
    <w:rsid w:val="11B12233"/>
    <w:rsid w:val="301E1FA5"/>
    <w:rsid w:val="310F1BDB"/>
    <w:rsid w:val="322D0DAC"/>
    <w:rsid w:val="3C5C1782"/>
    <w:rsid w:val="468C781C"/>
    <w:rsid w:val="480577AC"/>
    <w:rsid w:val="4DE70327"/>
    <w:rsid w:val="4E2A73AA"/>
    <w:rsid w:val="723B4179"/>
    <w:rsid w:val="76C54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left="432" w:hanging="432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7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sz w:val="30"/>
      <w:szCs w:val="24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720" w:hanging="720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2"/>
      </w:numPr>
      <w:spacing w:line="312" w:lineRule="auto"/>
      <w:ind w:firstLineChars="0"/>
      <w:outlineLvl w:val="3"/>
    </w:pPr>
    <w:rPr>
      <w:rFonts w:eastAsia="黑体" w:asciiTheme="majorAscii" w:hAnsiTheme="majorAscii" w:cstheme="majorBidi"/>
      <w:b/>
      <w:bCs/>
      <w:sz w:val="24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/>
      <w:outlineLvl w:val="8"/>
    </w:pPr>
    <w:rPr>
      <w:rFonts w:ascii="Arial" w:hAnsi="Arial" w:eastAsia="黑体"/>
      <w:sz w:val="21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uiPriority w:val="0"/>
    <w:pPr>
      <w:spacing w:after="120" w:afterLines="0" w:afterAutospacing="0"/>
    </w:pPr>
  </w:style>
  <w:style w:type="paragraph" w:styleId="12">
    <w:name w:val="Body Text First Indent"/>
    <w:basedOn w:val="11"/>
    <w:next w:val="1"/>
    <w:qFormat/>
    <w:uiPriority w:val="0"/>
    <w:pPr>
      <w:adjustRightInd/>
      <w:snapToGrid/>
      <w:ind w:left="0" w:right="0"/>
    </w:pPr>
    <w:rPr>
      <w:rFonts w:ascii="仿宋_GB2312" w:hAnsi="仿宋_GB2312" w:eastAsia="宋体" w:cs="仿宋_GB2312"/>
      <w:kern w:val="0"/>
      <w:sz w:val="24"/>
      <w:szCs w:val="28"/>
    </w:rPr>
  </w:style>
  <w:style w:type="paragraph" w:customStyle="1" w:styleId="15">
    <w:name w:val="表格文本居中 +加重"/>
    <w:basedOn w:val="1"/>
    <w:qFormat/>
    <w:uiPriority w:val="0"/>
    <w:pPr>
      <w:ind w:firstLine="0" w:firstLineChars="0"/>
      <w:jc w:val="center"/>
    </w:pPr>
    <w:rPr>
      <w:rFonts w:ascii="Times New Roman" w:hAnsi="Times New Roman" w:eastAsia="宋体" w:cs="Times New Roman"/>
      <w:b/>
      <w:sz w:val="28"/>
      <w:szCs w:val="24"/>
    </w:rPr>
  </w:style>
  <w:style w:type="paragraph" w:customStyle="1" w:styleId="16">
    <w:name w:val="Table_Medium"/>
    <w:qFormat/>
    <w:uiPriority w:val="0"/>
    <w:pPr>
      <w:spacing w:before="40" w:after="40"/>
    </w:pPr>
    <w:rPr>
      <w:rFonts w:ascii="Times New Roman" w:hAnsi="Times New Roman" w:eastAsia="宋体" w:cs="Times New Roman"/>
      <w:color w:val="000000" w:themeColor="text1"/>
      <w:sz w:val="18"/>
      <w:lang w:val="en-GB" w:eastAsia="zh-CN" w:bidi="ar-SA"/>
      <w14:textFill>
        <w14:solidFill>
          <w14:schemeClr w14:val="tx1"/>
        </w14:solidFill>
      </w14:textFill>
    </w:rPr>
  </w:style>
  <w:style w:type="character" w:customStyle="1" w:styleId="17">
    <w:name w:val="标题 2 字符"/>
    <w:link w:val="3"/>
    <w:qFormat/>
    <w:uiPriority w:val="0"/>
    <w:rPr>
      <w:rFonts w:hint="default" w:ascii="Arial" w:hAnsi="Arial" w:eastAsia="黑体" w:cs="Times New Roman"/>
      <w:b/>
      <w:kern w:val="2"/>
      <w:sz w:val="30"/>
      <w:szCs w:val="24"/>
    </w:rPr>
  </w:style>
  <w:style w:type="character" w:customStyle="1" w:styleId="18">
    <w:name w:val="title1"/>
    <w:qFormat/>
    <w:uiPriority w:val="0"/>
    <w:rPr>
      <w:b/>
      <w:bCs/>
      <w:color w:val="9999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2022-04-27T03:01:00Z</dcterms:created>
  <dc:creator>zhuzhu</dc:creator>
  <cp:lastModifiedBy>zhuzhu</cp:lastModifiedBy>
  <dcterms:modified xsi:type="dcterms:W3CDTF">2024-09-25T09:10:07Z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147FC7AD7E514D71B59A171A55DEEE8C</vt:lpwstr>
  </property>
</Properties>
</file>